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289</w:t>
      </w:r>
    </w:p>
    <w:p>
      <w:r>
        <w:t>Bundesgericht (BGE), 2009-04-03, FR</w:t>
      </w:r>
    </w:p>
    <w:p>
      <w:r>
        <w:rPr>
          <w:b/>
        </w:rPr>
        <w:t xml:space="preserve">Quelle: </w:t>
      </w:r>
      <w:r>
        <w:t>https://mcp.opencaselaw.ch/entscheid/bge_135 III 289</w:t>
      </w:r>
    </w:p>
    <w:p>
      <w:r>
        <w:t>FR: ATF 135 III 289</w:t>
      </w:r>
    </w:p>
    <w:p>
      <w:r>
        <w:t>IT: DTF 135 III 289</w:t>
      </w:r>
    </w:p>
    <w:p>
      <w:pPr>
        <w:pStyle w:val="Heading2"/>
      </w:pPr>
      <w:r>
        <w:t>Regeste</w:t>
      </w:r>
    </w:p>
    <w:p>
      <w:r>
        <w:t>Regeste Art. 82 BVG; Art. 7 Abs. 1 BVV 3; Art. 46 Abs. 1 VVG; Art. 67 Abs. 1 OR; Rechtsnatur der Rückerstattungsforderung betreffend Beiträge an die gebundene individuelle berufliche Vorsorge; Verjährung des Rückforderungsanspruchs. Die Rückforderung von Beiträgen an die gebundene individuelle Vorsorge (Säule 3a) beruht auf ungerechtfertigter Bereicherung (E. 6). Die Bereicherungsklage verjährt ein Jahr ab dem Tag, an dem die versicherte Person Kenntnis hat von der durch die zuständige Steuerbehörde erstellten Bescheinigung, dass die geleisteten Beiträge den nach Art. 7 Abs. 1 BVV 3 abzugsfähigen Betrag übersteigen (E. 7.2).</w:t>
      </w:r>
    </w:p>
    <w:p>
      <w:pPr>
        <w:pStyle w:val="Heading2"/>
      </w:pPr>
      <w:r>
        <w:t>Erwägungen</w:t>
      </w:r>
    </w:p>
    <w:p>
      <w:r>
        <w:rPr>
          <w:b/>
        </w:rPr>
        <w:t>E. 5.1</w:t>
      </w:r>
    </w:p>
    <w:p>
      <w:r>
        <w:t>Les formes de prévoyance individuelle assimilées à la prévoyance professionnelle ( art. 82 al. 1 LPP [RS 831.40]) sont exhaustivement énumérées à l'art. 1 de l'ordonnance du 13 novembre 1985 sur les déductions admises fiscalement pour les cotisations versées à des formes reconnues de prévoyance (OPP 3; RS 831.461.3). Il s'agit des contrats de prévoyance liée, soit de contrats spéciaux d'assurance de capital et de rentes sur la vie ou en cas d'invalidité ou de décès, y compris d'éventuelles assurances complémentaires en cas de décès par accident ou d'invalidité, souscrits auprès d'une institution d'assurance soumise à la surveillance des assurances ou d'une institution d'assurance de droit public satisfaisant aux exigences fixées à l' art. 67 al. 1 LPP , ainsi que des conventions de prévoyance liée, soit de contrats spéciaux d'épargne conclus avec des BGE 135 III 289 S. 292 fondations bancaires, qui peuvent être complétés par un contrat de prévoyance risque. La spécificité de ces contrats d'assurance et de ces conventions d'épargne réside dans le fait que, contrairement à ceux relevant de la prévoyance individuelle libre (pilier 3b) régis par le principe de la liberté contractuelle, ils sont soumis aux restrictions prévues par l'OPP 3 dans le but de garantir l'objectif de prévoyance: limitation du choix des bénéficiaires (art. 2) et des possibilités de versement des prestations (art. 3), interdiction de cession et de mise en gage du droit aux prestations, sous réserve d'acquisition de la propriété du logement et de divorce (art. 4; GLADYS LAFFELY MAILLARD, in Commentaire romand, Impôt fédéral direct, 2008, n° 67 ad art. 33 LIFD [RS 642.11]).</w:t>
      </w:r>
    </w:p>
    <w:p>
      <w:r>
        <w:rPr>
          <w:b/>
        </w:rPr>
        <w:t>E. 5.2</w:t>
      </w:r>
    </w:p>
    <w:p>
      <w:r>
        <w:t>Le pilier 3a ayant pour objectif de compléter les mesures du 2 e pilier ou de s'y substituer pour les salariés et les indépendants, l'ampleur des déductions est fonction de l'affiliation ou non à une institution de prévoyance exonérée au sens de l' art. 80 al. 2 LPP . Les contributions annuelles des salariés et des indépendants assurés auprès d'une institution de prévoyance s'élèvent au maximum à 8 % du montant limite supérieur fixé à l' art. 8 al. 1 LPP ( art. 7 al. 1 let. a OPP 3 ; 6'566 fr. pour 2009), alors que pour les contribuables qui ne sont pas affiliés auprès d'une institution de prévoyance, elles peuvent s'élever au maximum à 20 % du revenu provenant d'une activité lucrative, mais au maximum jusqu'à 40 % du montant limite supérieur fixé à l' art. 8 al. 1 LPP ( art. 7 al. 1 let. b OPP 3 ; 32'832 fr. pour 2009).</w:t>
      </w:r>
    </w:p>
    <w:p>
      <w:r>
        <w:rPr>
          <w:b/>
        </w:rPr>
        <w:t>E. 5.3</w:t>
      </w:r>
    </w:p>
    <w:p>
      <w:r>
        <w:t>Les contributions annuelles au pilier 3a ne sauraient excéder les montants maximaux déductibles selon l' art. 7 OPP 3 . Cette limitation trouve sa justification dans le fait que l'argent versé au titre de la prévoyance individuelle liée n'est pas soumis à l'impôt (cantonal et communal) sur la fortune et le rendement de cet argent n'est pas soumis à l'impôt anticipé. En limitant les déductions autorisées, le législateur a voulu donner une portée nettement définie au privilège fiscal accordé au pilier 3a. Il ne s'agit donc pas seulement de limiter la déduction du revenu des montants versés pour le pilier 3a, mais également de limiter la portée de l'exonération de l'impôt anticipé et de l'impôt sur la fortune (Conférence suisse des impôts, Prévoyance et impôts, Cas d'application n° B.2.3.1; LAFFELY MAILLARD, op. cit., n° 70 ad art. 33 LIFD ; AGNER/JUNG/STEINMANN, Commentaire de la loi sur l'impôt fédéral direct, 2001, n° 18 ad art. 33 LIFD ). Tout versement excédentaire constitue par conséquent une contribution de BGE 135 III 289 S. 293 prévoyance individuelle libre (pilier 3b). Les produits mixtes d'assurance combinant piliers 3a et 3b n'étant pas admissibles (arrêt 2A.292/2006 du 15 janvier 2007 consid. 4), les versements excédentaires doivent être remboursés, sur requête de l'autorité fiscale, et ne sauraient être compensés par l'absence de versement une année précédente ni reportés sur l'année suivante. Les contributions maximales étant annuelles, il n'y a pas non plus de rachat possible des lacunes passées ou futures (RICHNER/FREI/KAUFMANN, Handkommentar zum DBG, 2003, n° 102 s. ad art. 33 LIFD ; PETER LOCHER, Kommentar zum DBG, 2001, n° 63 ad art. 33 LIFD ; MAUTE/STEINER/RUFENER, Steuern und Versicherungen, 2 e éd. 1999, p. 125). Le remboursement n'est cependant possible que pour la part épargne de la prime. La prime de risque ne peut en effet pas être remboursée, dès lors que le risque a déjà été couvert par l'assureur (Conférence suisse des impôts, op. cit., Cas d'application n° B.2.3.10).</w:t>
      </w:r>
    </w:p>
    <w:p>
      <w:r>
        <w:rPr>
          <w:b/>
        </w:rPr>
        <w:t>E. 6.1</w:t>
      </w:r>
    </w:p>
    <w:p>
      <w:r>
        <w:t>Avant de pouvoir examiner la question de savoir si l'action en restitution de primes versées à tort est prescrite, il convient d'examiner la nature de cette action, singulièrement de déterminer si celle-ci est fondée sur le contrat ou sur un enrichissement illégitime. En effet, contrat et enrichissement illégitime s'excluent l'un l'autre, puisqu'un contrat représente une cause juridique, et qu'une prétention découlant de l'enrichissement illégitime suppose précisément qu'il n'y ait pas de cause juridique. Aussi longtemps que l'on peut faire valoir une créance découlant d'un contrat, les règles de l'enrichissement illégitime ne peuvent être appliquées. C'est pourquoi il faut examiner si la partie demanderesse à une telle action a effectué des prestations découlant d'un contrat et si elle peut également en réclamer la restitution sur la base de ce contrat. La grande différence entre les prétentions contractuelles et celles qui résultent de l'enrichissement illégitime est la divergence des délais de prescription applicables ( art. 46 al. 1 LCA [RS 221.229.1] pour les prétentions contractuelles; art. 67 CO pour celles qui découlent de l'enrichissement illégitime; sur la question en général, ATF 133 III 356 ).</w:t>
      </w:r>
    </w:p>
    <w:p>
      <w:r>
        <w:rPr>
          <w:b/>
        </w:rPr>
        <w:t>E. 6.2</w:t>
      </w:r>
    </w:p>
    <w:p>
      <w:r>
        <w:t>Sous réserve d'un délai conventionnel plus long ( art. 98 al. 1 LCA ), les créances qui dérivent du contrat d'assurance se prescrivent par deux ans à dater du fait d'où naît l'obligation ( art. 46 al. 1, 1 re phrase, LCA). Cette disposition est applicable à toutes les créances qui, en vertu de la loi ou du contrat, ont leur source dans les BGE 135 III 289 S. 294 rapports d'assurance. Les deux principales situations visées par cette disposition concernent, d'une part, la prétention de l'assureur en paiement de la prime et, d'autre part, la prétention de l'ayant droit à l'exécution de la prestation d'assurance. Les prétentions qui ont certes un rapport avec le contrat d'assurance, mais qui ne constituent pas des prétentions légales ou contractuelles, ne tombent pas dans le champ d'application de l' art. 46 LCA (VINCENT BRULHART, Droit des assurances privées, 2008, p. 385 n. 385; CHRISTOPH GRABER, in Basler Kommentar, Bundesgesetz über den Versicherungsvertrag, 2001, n° 3 ad art. 46 LCA ; JEAN BENOÎT MEUWLY, La durée de la couverture d'assurance privée, L'échéance du contrat d'assurance et la prescription de l'article 46 alinéa 1 LCA, 1994, p. 207 s.; ROELLI/KELLER/TÄNNLER, Kommentar zum Schweizerischen Bundesgesetz über den Versicherungsvertrag, tome I, 1968, p. 664 ss). Ainsi, une créance en restitution de prestations versées à tort ne dérive pas du contrat d'assurance lui-même, mais ressortit à l'enrichissement illégitime ( ATF 42 II 674 consid. 2a p. 680). Par analogie, il y a lieu de tenir le même raisonnement s'agissant de la créance en restitution de primes versées à tort (pour un cas relatif à des primes de la prévoyance professionnelle obligatoire et surobligatoire, arrêt B 149/06 du 11 juin 2007 consid. 6.2, in SVR 2008 BVG n° 3 p. 9).</w:t>
      </w:r>
    </w:p>
    <w:p>
      <w:r>
        <w:rPr>
          <w:b/>
        </w:rPr>
        <w:t>E. 7.1</w:t>
      </w:r>
    </w:p>
    <w:p>
      <w:r>
        <w:t>Conformément à l' art. 67 CO , l'action pour cause d'enrichissement illégitime se prescrit par un an à compter du jour où la partie lésée a eu connaissance de son droit de répétition, et, dans tous les cas, par dix ans dès la naissance de ce droit. Le lésé n'a connaissance de son droit que lorsqu'il a la possibilité d'intenter une action en justice et qu'il possède les éléments suffisants pour motiver une telle demande ( ATF 132 V 404 consid. 3 p. 407; ATF 129 III 503 consid. 3.4 p. 505).</w:t>
      </w:r>
    </w:p>
    <w:p>
      <w:r>
        <w:rPr>
          <w:b/>
        </w:rPr>
        <w:t>E. 7.2</w:t>
      </w:r>
    </w:p>
    <w:p>
      <w:r>
        <w:t>Dans la mesure où il est exclu qu'un établissement d'assurances ou une fondation bancaire rembourse des montants versés au titre de la prévoyance individuelle liée sur simple demande du contribuable ( art. 3 OPP 3 a contrario), le remboursement de versements excédentaires ne peut intervenir que sur la base d'un décompte établi par l'autorité fiscale compétente constatant que les primes versées excèdent le montant déductible autorisé à l' art. 7 al. 1 OPP 3 et indiquant clairement le montant à rembourser (Conférence suisse des impôts, op. cit., Cas d'application n° B.2.3.10). BGE 135 III 289 S. 295</w:t>
      </w:r>
    </w:p>
    <w:p>
      <w:r>
        <w:rPr>
          <w:b/>
        </w:rPr>
        <w:t>E. 7.3</w:t>
      </w:r>
    </w:p>
    <w:p>
      <w:r>
        <w:t>En l'espèce, l'Administration fiscale cantonale de la République et canton de Genève a, le 23 février 2006, adressé au recourant un courrier l'invitant à demander dans les plus brefs délais le remboursement du montant de 12'885 fr. à l'institution de prévoyance concernée. Le moment déterminant pour le départ de la prescription annale se situait au plus tôt au moment de la réception de ce courrier par le recourant. S'il n'est pas possible de fixer précisément la date de réception, il ressort néanmoins du dossier que le recourant a pris connaissance de ce courrier au plus tard le 18 avril 2006, puisqu'il a interpellé ce jour-là l'intimée sur la teneur de cette invitation. Lorsque le recourant a, le 3 octobre 2007, introduit sa demande auprès du Tribunal cantonal des assurances sociales, la prétention en restitution des versements excédentaires qu'il a effectués au titre de la prévoyance individuelle liée était par conséquent prescrite. Au demeurant, le recourant ne pouvait se prévaloir de la déclaration de renonciation à l'exception de prescription signée par l'intimée le 22 mai 2007, celle-ci ayant expressément réservé le cas où la prescription était déjà intervenue (voir également arrêt 5C.42/2005 du 21 avril 2005 consid. 2.2 et les références).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